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Семеновой Александры Владимировны на нарушение ее конституционных прав пунктом 6 статьи 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А.В.Семеновой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А.В.Семенова оспаривает конституционность пункта 6 статьи 2 «Основные принципы законодательства о градостроительной деятельности» Градостроительного кодекса Российской Федерации. Как следует из представленных материалов, решением суда общей юрисдикции, с которым согласились вышестоящие суды, было отказано в удовлетворении административного искового заявления А.В.Семеновой о признании незаконными приказа уполномоченного органа исполнительной власти об отклонении предложений заявительницы о внесении изменений в правила землепользования и застройки муниципального образования и 2 бездействия этого органа по обеспечению благоприятных условий жизнедеятельности в части озеленения территории. При этом суды указали на то, что в представленных заявительницей предложениях не учитывалось несоответствие предлагаемой к установлению территориальной зоны генеральному плану и что данные предложения были мотивированно отклонены уполномоченным органом в пределах его компетенции. По мнению заявительницы, оспариваемое законоположение не соответствует статьям 18, 40 (часть 1), 42, 45 (часть 1) и 46 (части 1 и 2) Конституции Российской Федерации, поскольку не допускает признания бездействия органов власти по обеспечению благоприятных условий жизнедеятельности человека незаконным в судебном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Градостроительный кодекс Российской Федерации, определяя основные принципы законодательства о градостроительной деятельности, предусматривает, среди прочего, что к принципам, на которых основывается законодательство о градостроительной деятельности и изданные в соответствии с ним нормативные правовые акты, относится ответственность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 за обеспечение благоприятных условий жизнедеятельности человека (пункт 6 статьи 2). Данное законоположение в силу своего содержания не может расцениваться как препятствующее судебной защите прав граждан в градостроительной сфере, в том числе путем обжалования решений, действий (бездействия) органов государственной власти субъектов Российской Федерации, органов местного самоуправления, а потому оно не нарушает конституционных прав заявительницы в указанном в ее жалобе аспекте.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Семеновой Александры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