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Крупы Вячеслава Владиславовича на нарушение его конституционных прав пунктом 1 статьи 395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В.В.Крупы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В.В.Крупа оспаривает конституционность пункта 1 статьи 395 «Ответственность за неисполнение денежного обязательства» ГК Российской Федерации. Решением суда общей юрисдикции, оставленным без изменения судами апелляционной и кассационной инстанций, частично удовлетворен иск В.В.Крупы о взыскании с юридического лица процентов за просрочку исполнения обязательства по возмещению убытков, ранее взысканных в пользу заявителя вступившим в законную силу судебным постановлением по спору о возмещении убытков. При этом сумма процентов определена без учета периода, предшествовавшего вступлению в законную силу 2 постановления суда по указанному спору. Определением судьи Верховного Суда Российской Федерации отказано в передаче кассационной жалобы В.В.Крупы для рассмотрения в судебном заседании суда кассационной инстанции. По мнению заявителя, оспариваемая норма не соответствует статьям 35 и 46 (часть 1) Конституции Российской Федерации, поскольку по смыслу, придаваемому ей пунктом 57 постановления Пленума Верховного Суда Российской Федерации от 24 марта 2016 года № 7 «О применении судами некоторых положений Гражданского кодекса Российской Федерации об ответственности за нарушение обязательств», она лишает лицо, которому причинен вред, права на взыскание процентов за неисполнение деликтного обязательства в период с момента причинения вреда до момента вынесения судебного постановления по иску о его возмещении. Кроме того, В.В.Крупа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395 ГК Российской Федерации, рассматриваемый в контексте разъяснения о том, что обязанность причинителя вреда по уплате процентов, предусмотренных данной статьей, возникает со дня вступления в законную силу решения суда, которым удовлетворено требование потерпевшего о возмещении причиненных убытков, если иной момент не указан в законе, при просрочке их уплаты должником (пункт 57 постановления Пленума Верховного Суда Российской Федерации «О применении судами некоторых положений Гражданского кодекса Российской Федерации об ответственности за нарушение обязательств»), с учетом особенностей обязательств по возмещению вреда, которые могут исполняться как в денежной, так и в натуральной форме в зависимости от решения, принимаемого судом в соответствии с обстоятельствами конкретного дела (статья 1082 ГК Российской Федерации), и размер которых 3 в денежном выражении определяется судом при рассмотрении дела, не может рассматриваться как нарушающий конституционные права В.В.Крупы в обозначенном в жалобе аспекте. Разрешение же поставленного в жалобе вопроса об отмене судебных постановлений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Крупы Вячеслава Владиславовича,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