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Шукшина Александра Геннадьевича на нарушение его конституционных прав положениями статьи 303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А.Г.Шукшина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А.Г.Шукшин оспаривает конституционность положений статьи 303 Трудового кодекса Российской Федерации, в соответствии с которыми при заключении трудового договора с работодателем – физическим лицом работник обязуется выполнять не запрещенную данным Кодексом или иным федеральным законом работу, определенную этим договором (часть первая); в письменный трудовой договор в обязательном порядке включаются все условия, существенные для работника и для работодателя (часть вторая); работодатель – физическое лицо обязан, в частности, оформить трудовой договор с работником в письменной форме (часть третья). По мнению заявителя, данные нормы не соответствуют статье 37 (часть 3) Конституции Российской Федерации в той мере, в какой они в системе 2 действующего правового регулирования по смыслу, придаваемому им правоприменительной практикой в случае отсутствия письменного трудового договора, предоставляют работодателю – физическому лицу ничем не ограниченное право не признавать работу, выполненную допущенным к ней работником в интересах работодателя, трудовой функцией и не оплачивать ее.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Шукшина Александра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