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3304-О/2025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Сафиуллина Михаила Валерьевича на нарушение его конституционных прав статьей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М.В.Сафиуллина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М.В.Сафиуллин оспаривает конституционность статьи 67 «Оценка доказательств» ГПК Российской Федерации. Как следует из представленных материалов, апелляционным определением, с которым согласились суды кассационной инстанции, М.В.Сафиуллину отказано в удовлетворении исковых требований о взыскании ущерба, причиненного дорожно-транспортным происшествием. В связи с этим заявитель просит признать статью 67 ГПК Российской Федерации не соответствующей статьям 15 и 19 Конституции Российской Федерации, поскольку она допускает произвольную оценку судом 2 доказательств, игнорирование общепризнанных принципов и норм международного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Закрепленное в статье 67 ГПК Российской Федерации дискреционное полномочие суда по оценке доказательств, необходимое для эффективного осуществления правосудия, следует из принципов судейского руководства процессом и самостоятельности судебной власти. При этом доказательства по делу оцениваются судом не произвольно, а исходя из конституционного принципа подчинения судей только Конституции Российской Федерации и федеральному закону (статья 120, часть 1, Конституции Российской Федерации), получившего свое развитие в пункте 1 статьи 3 Закона Российской Федерации от 26 июня 1992 года № 3132-I «О статусе судей в Российской Федерации» и части первой статьи 11 ГПК Российской Федерации, по смыслу которых судья обязан соблюдать Конституцию Российской Федерации, федеральные конституционные законы, федеральные законы и иные нормативные правовые акты и только на их основе разрешать гражданские дела. Гарантией же соблюдения судом указанных требований являются установленные Гражданским процессуальным кодексом Российской Федерации процедуры проверки судебных постановлений судами вышестоящих инстанций и основания для их отмены или изменения. Таким образом, статья 67 ГПК Российской Федерации, рассматриваемая во взаимосвязи с иными положениями этого Кодекса, не может расцениваться в качестве нарушающей конституционные права М.В.Сафиуллина, доводы которого свидетельствуют о том, что нарушение этих прав он связывает не с содержащимися в ней предписаниями, а с выводами судов, сделанными на основе установления и оценки фактических обстоятельств конкретного дела. Между тем разрешение данного вопроса не отнесено к компетенции Конституционного Суда Российской Федерации, закрепленной статьей 125 3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Сафиуллина Михаила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