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1196-О/2024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Карасевича Александра Георгиевича на нарушение его конституционных прав частью первой статьи 112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А.Г.Карасевича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А.Г.Карасевич оспаривает конституционность части первой статьи 112 «Восстановление процессуальных сроков» ГПК Российской Федерации. Как следует из представленных материалов, определением суда общей юрисдикции, оставленным без изменения судом апелляционной инстанции и кассационным судом общей юрисдикции, удовлетворено заявление финансового управляющего о восстановлении пропущенного процессуального срока на подачу апелляционной жалобы на решение этого же суда вынесенного по делу с участием А.Г.Карасевича о разделе совместно нажитого имущества. Определением судьи Верховного Суда Российской 2 Федерации заявителю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А.Г.Карасевича, оспариваемая норма, не ограничивающая пресекательным сроком возможность восстановления пропущенного процессуального срока на подачу апелляционной жалобы на решение суда первой инстанции, не соответствует статье 46 Конституции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первая статьи 112 ГПК Российской Федерации, предусматривающая возможность восстановления пропущенного процессуального срока только при наличии признанных судом уважительными причин пропуска этого срока, не предполагает произвольного применения содержащихся в ней положений и призвана обеспечить гарантии судебной защиты прав и законных интересов участников гражданского судопроизводства. Вопрос о возможности восстановления пропущенного процессуального срока разрешается судом в каждом конкретном случае на основе установления и исследования фактических обстоятельств дела в пределах предоставленной ему законом свободы усмотрения, что не может рассматриваться в качестве нарушения каких-либо конституционных прав и свобод граждан. Гарантией же объективного и беспристрастного рассмотрения судом вопроса о восстановлении срока является процедура обжалования определения суда о восстановлении пропущенного процессуального срока или об отказе в его восстановлении, установленная частью пятой статьи 112 названного Кодекса. Таким образом, часть первая статьи 112 ГПК Российской Федерации не может рассматриваться как нарушающая перечисленные в жалобе конституционные права заявителя в его конкретном деле. 3 Из приложенных к жалобе материалов следует, что при рассмотрении заявления финансового управляющего о восстановлении пропущенного процессуального срока на подачу апелляционной жалобы на решение суда первой инстанции по делу, к участию которого он не был привлечен, судом на основании исследования совокупности фактических обстоятельств, а также оценки приводимых в заявлении доводов было установлено наличие оснований для его удовлетворения. Проверка правильности такого вывода суда, предполагающая исследование фактических обстоятельств конкретного дела, к компетенции Конституционного Суда Российской Федерации, закрепленной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Карасевича Александра Георгиевича,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