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Халитова Радика Ахсановича на нарушение его конституционных прав частью 1 статьи 10 Федерального закона «О внесении изменений в отдельные законодательные акты Российской Федерации по вопросам назначения и выплаты пенсий»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Р.А.Халитова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Р.А.Халитов оспаривает конституционность части 1 статьи 10 Федерального закона от 3 октября 2018 года № 350-ФЗ «О внесении изменений в отдельные законодательные акты Российской Федерации по вопросам назначения и выплаты пенсий» (в редакции, действовавшей до вступления в силу Федерального закона от 19 декабря 2022 года № 550-ФЗ), в соответствии с которой гражданам, признанным безработными до 1 января 2019 года, пособие по безработице выплачивается в порядке, сроки и размерах, установленных Законом Российской Федерации 2 от 19 апреля 1991 года № 1032-I «О занятости населения в Российской Федерации» (в редакции, действовавшей до дня вступления в силу данного Федерального закона). По мнению заявителя, оспариваемое законоположение не соответствует статьям 19 (части 1 и 2), 37 (часть 3) и 39 (часть 1) Конституции Российской Федерации в той мере, в какой оно препятствует выплате ему с пособия по безработице в повышенном максимальном размере как лицу предпенсионного возраста.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Вопрос, поставленный заявителем, был разрешен Конституционным Судом Российской Федерации в Постановлении от 17 марта 2022 года № 11- П, которым часть 1 статьи 10 Федерального закона «О внесении изменений в отдельные законодательные акты Российской Федерации по вопросам назначения и выплаты пенсий» признана не соответствующей Конституции Российской Федерации, ее преамбуле, а также статьям 19 (части 1 и 2), 37 (часть 3) и 39 (часть 1), в той мере, в какой данное законоположение в системе действующего правового регулирования препятствует выплате с 1 января 2019 года пособия по безработице в повышенном максимальном размере, установленном для граждан предпенсионного возраста – тем из них, кто, фактически уже являясь лицом предпенсионного возраста, был признан безработным до указанной даты и получал данное пособие в максимальном размере.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Халитова Радика Ахсановича, поскольку по предмету обращения Конституционным Судом Российской Федерации ранее было принято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