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Ющенко Владимира Михайловича на нарушение его конституционных прав статьей 4.5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В.М.Ющенко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В.М.Ющенко, привлеченный постановлением мирового судьи, с которым согласились судьи вышестоящих судов, к административной ответственности, предусмотренной частью 2 статьи 12.27 «Невыполнение обязанностей в связи с дорожно-транспортным происшествием» КоАП Российской Федерации, оспаривает конституционность статьи 4.5 «Давность привлечения к административной ответственности» данного Кодекса. По мнению заявителя, выражающего несогласие с принятыми по его делу правоприменительными актами, в результате ошибочного применения оспариваемого законоположения он был привлечен к административной ответственности за пределами срока давности, составлявшего, как он полагает, 2 два месяца со дня совершения административного правонарушения. В связи с этим В.М.Ющенко просит признать статью 4.5 КоАП Российской Федерации не соответствующей статьям 2 (часть 1), 15 (часть 1), 17 (часть 1), 21 (часть 1), 45 (часть 1), 46 (часть 1), 47 (часть 1) и 54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Ющенко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