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 на нарушение ее конституционных прав пунктом 1 статьи 52 Семейного кодекса Российской Федерации, а также пунктом 1 части первой статьи 134 и абзацем вторым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 оспаривает конституционность пункта 1 статьи 52 «Оспаривание отцовства (материнства)» Семейного кодекса Российской Федерации, а также пункта 1 части первой статьи 134 «Отказ в принятии искового заявления» и абзаца второго статьи 220 «Основания прекращения производства по делу» ГПК Российской Федерации. Из представленных материалов следует, что определением суда общей юрисдикции, оставленным без изменения определением суда апелляционной инстанции, производство по делу с участием Я. прекращено в части ее требований об оспаривании отцовства гражданина Д.Я. в отношении гражданина С.Я. и о внесении изменений в запись акта гражданского 2 состояния. Суды отметили, что заявительница не вправе, в силу пункта 1 статьи 52 Семейного кодекса Российской Федерации, оспаривать запись родителей в книге записей рождений, произведенную в соответствии с пунктом 1 статьи 51 того же Кодекса. В передаче кассационной жалобы на названные определения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1 (часть 1), 2, 7, 17, 18, 35 (части 2 и 4), 38 (часть 2) и 55 (часть 3) Конституции Российской Федерации, поскольку по смыслу, придаваемому им правоприменительной практикой, они не позволяют наследникам оспаривать родство между наследодателем и наследником, наследующим по праву представления.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52 Семейного кодекса Российской Федерации, определяющий круг лиц, наделенных правом оспаривать запись родителей в книге записей рождений, направлен на реализацию принципов обеспечения приоритетной защиты прав и интересов несовершеннолетних и недопустимости произвольного вмешательства кого-либо в дела семьи, что согласуется с конституционным принципом государственной поддержки и защиты семьи, материнства, отцовства и детства, закрепленным в статьях 7 (часть 2) и 38 (часть 1) Конституции Российской Федерации (Постановление Конституционного Суда Российской Федерации от 2 марта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