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Москаленко Инны Николаевны на нарушение ее конституционных прав статьями 3251 и 329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И.Н.Москаленко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И.Н.Москаленко оспаривает конституционность статей 3251 «Возвращение дела судом апелляционной инстанции» и 329 «Постановление суда апелляционной инстанции»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 иск гражданина Ш. к И.Н.Москаленко, встречные требования также частично удовлетворены. При этом судом апелляционной инстанции дело возвращалось в суд первой инстанции для проведения 2 служебной проверки в связи с доводом И.Н.Москаленко об оглашении судом первой инстанции резолютивной части решения не в полном объеме.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И.Н.Москаленко, оспариваемые законоположения противоречат Конституции Российской Федерации, ее статье 46, поскольку они позволяют суду апелляционной инстанции возвращать апелляционную жалобу внепроцессуальным способом, что, в свою очередь, не позволило ей присутствовать при проведении служебной проверки по доводам, изложенным в апелляционной жалобе, и представлять доказательства в целях защиты своих прав.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Москаленко Инны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