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Цивилева Андрея Станиславовича на нарушение его конституционных прав частью первой статьи 151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А.С.Цивилева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А.С.Цивилев оспаривает конституционность части первой статьи 151 «Компенсация морального вреда» ГК Российской Федерации. Как следует из представленных материалов, решением суда общей юрисдикции от 12 августа 2021 года заявителю отказано в удовлетворении требований о взыскании с государственного казенного учреждения компенсации морального вреда. В этой части с указанным решением согласился суд апелляционной инстанции, определение которого оставлено без изменения судом кассационной инстанции. Определением судьи Верховного Суда Российской Федерации от 8 декабря 2022 года отказано в передаче кассационной жалобы государственного казенного учреждения для 2 рассмотрения в судебном заседании Судебной коллегии по гражданским делам Верховного Суда Российской Федерации. По мнению заявителя, оспариваемая норма не соответствует статьям 21 (часть 1), 45 (часть 1), 46 (часть 1) и 56 (часть 3) Конституции Российской Федерации. Также А.С.Цивилев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Цивилева Андрея Станиславовича,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