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Костромина Николая Николаевича на нарушение его конституционных прав положениями статей 110 и 139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Н.Н.Костромина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Н.Н.Костромина и оставленным без изменения постановлениями судов апелляционной и кассационной инстанций, было отказано в удовлетворении заявления должника о признании незаконными действий финансового управляющего по проведению торгов и признании торгов недействительными. Н.Н.Костромин оспаривает конституционность абзацев первого и второго пункта 10 статьи 110 «Продажа предприятия должника» и абзаца седьмого пункта 11 статьи 139 «Продажа имущества должника» 2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8 (часть 2), 17 (часть 3), 19 (часть 2) и 46 (часть 1)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не содержат четких и безусловных указаний, какие сведения и информацию должны содержать сообщения о продаже, адресованные неопределенному кругу потенциальных покупателей, о характеристиках, описаниях и технических параметрах продаваемого на торгах имущества должников, что позволяет судам произвольно толковать эти нормы.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10 статьи 110 Федерального закона «О несостоятельности (банкротстве)» предусматривает включение в сообщение о продаже имущества должника широкого спектра сведений, в том числе о составе и характеристиках имущества, описание этого имущества и порядок ознакомления с ним (абзацы первый и второй) и преследует цель обеспечения надлежащего информирования о предмете и условиях проведения торгов, их открытости и прозрачности. Данное положение, рассматриваемое в том числе во взаимосвязи с абзацем седьмым пункта 11 статьи 139 того же Федерального закона, прямо устанавливающим, что порядок,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покупателей, не предполагает его произвольного применения и не может расцениваться как нарушающее конституционные права заявителя, в деле с участием которого суды пришли к выводу, что размещенная финансовым управляющим информация о торгах и 3 реализуемом имуществе являлась достаточной и соответствующей требованиям Федерального закона «О несостоятельности (банкротстве)», в том числе его статей 110 и 139. Установление же и оценка фактических обстоятельств, имеющих значение для разрешения конкретного дела, а также проверка правильности выбора и применения норм права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Костромина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