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Козловой Светланы Борисовны на нарушение ее конституционных прав статьей 129, пунктом 1 части второй статьи 377 и частью первой статьи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С.Б.Козловой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С.Б.Козлова оспаривает конституционность статьи 129 «Отмена судебного приказа», пункта 1 части второй статьи 377 «Порядок подачи кассационных жалобы, представления» и части первой статьи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определением исполняющего обязанности мирового судьи отменен судебный приказ о взыскании с С.Б.Козловой в пользу юридического лица денежных средств. Кассационная жалоба заявительницы на отмененный судебный приказ 2 возвращена ей без рассмотрения по существу определением судьи кассационного суда общей юрисдикции, оставленным без изменения судебной коллегией по гражданским делам этого суда. По мнению С.Б.Козловой, оспариваемые законоположения, действующие во взаимосвязи и с учетом разъяснений, данных в пункте 31 постановления Пленума Верховного Суда Российской Федерации от 27 декабря 2016 года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противоречат статьям 17 (часть 1), 19 (часть 1), 45 (часть 1) и 46 (часть 1) Конституции Российской Федерации, поскольку не позволяют обжаловать определение суда об отмене судебного приказа о взыскании обязательных платежей и санкций.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129 ГПК Российской Федерации предусматривает, что при поступлении в установленный срок возражений должника относительно исполнения судебного приказа судья отменяет судебный приказ; в определении об отмене судебного приказа судья разъясняет взыскателю, что заявленное требование им может быть предъявлено в порядке искового производства. Данное законоположение устанавливает гарантии соблюдения прав должника и взыскателя при вынесении судебного приказа, а потому ни само по себе, ни с учетом смысла, придаваемого ему правоприменительной практикой, не может расцениваться в качестве нарушающего конституционные права заявительницы в ее конкретном деле, в рамках которого она не лишена возможности защищать свои права в суде в случае предъявления к ней требований в порядке искового производства после отмены судебного приказа. 3 Пункт 1 части второй статьи 377 и часть первая статьи 3797 ГПК Российской Федерации регламентируют порядок кассационного судопроизводства в целях обеспечения возможности исправления судебных ошибок и конституционных прав заявительницы в обозначенном в жалобе аспекте также не нарушают, в том числе с учетом того, что, как следует из представленных материалов, в кассационном порядке ею обжаловался отмененный ранее по ее заявлению судебный приказ, а не определение о его отмене.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Козловой Светланы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