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Шалимовой Юлии Алексеевны на нарушение ее конституционных прав статьей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Ю.А.Шалимовой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Ю.А.Шалимова оспаривает конституционность статьи 195 «Законность и обоснованность решения суда»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Ю.А.Шалимовой отказано в удовлетворении исковых требований к Департаменту городского имущества города Москвы об установлении факта родственных отношений, восстановлении срока для принятия наследства и признании фактически принявшей наследство, встречные исковые требования удовлетворены судом. 2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Ю.А.Шалимовой, оспариваемое законоположение противоречит Конституции Российской Федерации, ее статьям 15 (части 1 и 2), 19 (часть 1), 46 (часть 1) и 120 (часть 1), поскольку, по смыслу, придаваемому ему правоприменительной практикой, позволяет суду выносить решение, противоречащее закону, подлежащему применению в деле, произвольно мотивировать это решение, игнорировать правовые позиции Конституционного Суда Российской Федерации и разъяснения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Шалимовой Юлии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