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Барбулат Вероники Станиславовны на нарушение ее конституционных прав частями первой – третьей статьи 7 и частью первой статьи 108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В.С.Барбулат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с учетом изменений, внесенных судами апелляционной и кассационной инстанций, гражданка В.С.Барбулат осуждена за совершение преступления. Заявительница оспаривает конституционность частей первой – третьей статьи 7 «Законность при производстве по уголовному делу» и части первой статьи 108 «Заключение под стражу» УПК Российской Федерации. По ее мнению, оспариваемые нормы допускают произвольное толкование федеральных законов при формулировании обвинения, в основу которого в числе прочего положен протокол личного досмотра, составленный в порядке 2 Кодекса Российской Федерации об административных правонарушениях, препятствуют судебной защите прав всеми не запрещенными законом способами, ограничивают доступ к правосудию и гарантии государственной защиты прав и свобод человека и гражданина, чем нарушают права, гарантированные статьями 45 и 47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 УПК Российской Федерации содержит общие нормы, реализующие принцип законности в уголовном судопроизводстве, которые направлены не на ограничение, а на защиту прав личности в уголовном процессе и неопределенности не содержат (определения Конституционного Суда Российской Федерации от 23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Барбулат Вероники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