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937-О/2024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Иванова Алексея Викторовича на нарушение его конституционных прав положениями статьи 3907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А.В.Иванова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А.В.Иванов, которому определением судьи Верховного Суда Российской Федерации в передаче кассационной жалобы для рассмотрения в судебном заседании Судебной коллегии по гражданским делам Верховного Суда Российской Федерации было отказано, с чем согласился заместитель Председателя этого суда, оспаривает конституционность абзаца первого части первой и части второй статьи 3907 «Рассмотрение кассационных жалобы, представления» ГПК Российской Федерации. 2 По мнению заявителя, оспариваемые законоположения не соответствуют статьям 15 (части 1 и 2), 18, 19 (части 1 и 2), 46 (части 1 и 2), 123 и 126 Конституции Российской Федерации, поскольку они позволяют судье Верховного Суда Российской Федерации отказывать в передаче кассационной жалобы для рассмотрения в судебном заседании Судебной коллегии по гражданским делам этого суда, создают возможность формального изучения кассационной жалобы, тем самым препятствуют реализации его права на судебную защиту.</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Предварительная процедура рассмотрения судьей Верховного Суда Российской Федерации кассационных жалобы, представления, установленная статьей 3907 ГПК Российской Федерации, призвана обеспечить баланс публичного и частного интересов и исключить явно необоснованные обращения. При этом судья не рассматривает дело по существу, в данной процедуре он решает вопрос о наличии оснований для передачи жалобы для рассмотрения в судебном заседании коллегиальным составом судей. Вместе с тем законоположения, регламентирующие указанную процедуру, не допускают произвольного отказа в рассмотрении кассационных жалобы, поскольку обязывают судью при наличии предусмотренных законом оснований для отмены или изменения обжалуемого судебного постановления во всяком случае передать их для рассмотрения по существу коллегиальным составом судей. Таким образом, абзац первый части первой и часть вторая статьи 3907 ГПК Российской Федерации во взаимосвязи с другими положениями его главы 41, призванные обеспечить реализацию правомочий Верховного Суда Российской Федерации по исправлению возможных судебных ошибок и принятие судом законного и обоснованного решения, не могут расцениваться в качестве нарушающих конституционные права заявителя, указанные в жалобе. 3 Установление того, имелись ли основания для передачи кассационной жалобы А.В.Иванова для рассмотрения в судебном заседании суда кассационной инстанции, к компетенции Конституционного Суда Российской Федерации, закрепленной в статье 125 Конституции Российской Федерации и статье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Иванова Алексея Викторовича,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