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Кравченко Константина Петровича на нарушение его конституционных прав абзацем вторым части первой статьи 376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К.П.Кравченко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К.П.Кравченко оспаривает конституционность абзаца второго части первой статьи 376 «Право на обращение в кассационный суд общей юрисдикции» ГПК Российской Федерации. Как следует из представленных материалов, определением судьи кассационного суда общей юрисдикции кассационная жалоба К.П.Кравченко возвращена ему без рассмотрения по существу в связи с тем, что заявителем не были исчерпаны установленные Гражданским процессуальным кодексом Российской Федерации способы обжалования судебного постановления. По мнению К.П.Кравченко, оспариваемое законоположение нарушает его права, гарантированные статьей 46 Конституции Российской Федерации, 2 поскольку не предусматривает возможности пересмотреть незаконное судебное постановление в случае пропуска срока для его апелляционного обжалования.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Кравченко Константина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