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ее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Г., которой вступившим в законную силу решением суда общей юрисдикции было отказано в удовлетворении иска о признании незаконными действий медицинской организации, куда она была помещена для производства стационарной экспертизы по уголовному делу, по оформлению медицинской документации и о взыскании компенсации морального вреда, оспаривает конституционность положений Гражданского кодекса Российской Федерации, федеральных законов от 31 мая 2001 года № 73-ФЗ «О государственной судебно-экспертной деятельности в Российской Федерации» и от 21 ноября 2011 года № 323-ФЗ «Об основах охраны здоровья граждан в Российской Федерации». По мнению заявительницы, оспариваемые законоположения не соответствуют ряду статей Конституции Российской Федерации, поскольку, в частности, не определяют требований к содержанию медицинской 2 документации и допускают ее ведение (оформление) с нарушением установленных правил; не предусматривают права лица, в отношении которого медицинской организацией, оказывающей психиатрическую помощь в стационарных условиях, проводилась экспертиза, на доступ к единой государственной информационной системе в сфере здравоохранения; не наделяют указанное лицо статусом пациента; не закрепляют обязанности соблюдения прав названного лица; препятствуют привлечению экспертов к ответственности за допущенные ими нарушения при ведении медицинской документации; не относят к числу нематериальных благ информацию о здоровье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заявительницей законоположения наряду с прочим определяют основные понятия, используемые в Федеральном законе «Об основах охраны здоровья граждан в Российской Федерации»; регламентируют порядок ведения единой государственной информационной системы в сфере здравоохранения; предусматривают, что медицинские организации, медицинские работники несут установленную законом ответственность (статьи 2 и 911, а также часть 2 статьи 98 данного Федерального закона); гарантируют соблюдение прав и свобод при осуществлении государственной судебно-экспертной деятельности (статья 6 Федерального закона «О государственной судебно-экспертной деятельности в Российской Федерации»); закрепляют открытый перечень нематериальных благ, принадлежащих гражданину, и возможность их защиты (статья 150 ГК Российской Федерации). Приведенное регулирование, направленное на обеспечение прав граждан и не содержащее положений, допускающих произвольное применение, не может расцениваться как нарушающее конституционные права Г. в указанных ею аспектах. 3 Кроме того, заявительница, по существу, просит не о проверке конституционности положений нормативных правовых актов, а об оценке обоснованности принятых по конкретному делу с ее участием судебных постановлений. Однако разрешение такого вопроса, связанного с выяснением фактических обстоятельств конкретного дела,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