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446-О/2024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Ветвицкого Романа Валерьевича на нарушение его конституционных прав статьей 40 и пунктом 1 статьи 42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Р.В.Ветвицкого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Р.В.Ветвицкий оспаривает конституционность следующих норм Семейного кодекса Российской Федерации: статьи 40, закрепляющей, что брачным договором признается соглашение лиц, вступающих в брак, или соглашение супругов, определяющее имущественные права и обязанности супругов в браке и (или) в случае его расторжения; пункта 1 статьи 42, предусматривающего, что брачным договором супруги вправе изменить установленный законом режим совместной собственности (статья 34 данного Кодекса), установить режим совместной, долевой или раздельной собственности на все имущество супругов, на его 2 отдельные виды или на имущество каждого из супругов; брачный договор может быть заключен как в отношении имеющегося, так и в отношении будущего имущества супругов; супруги вправе определить в брачном договоре свои права и обязанности по взаимному содержанию, способы участия в доходах друг друга, порядок несения каждым из них семейных расходов; определить имущество, которое будет передано каждому из супругов в случае расторжения брака, а также включить в брачный договор любые иные положения, касающиеся имущественных отношений супругов. Из представленных материалов следует, что решением суда общей юрисдикции, оставленным без изменения определением суда апелляционной инстанции, отказано в удовлетворении требования Р.В.Ветвицкого о признании доли в праве собственности на жилое помещение, приобретенное в том числе за счет кредита, при возврате которого частично использовались средства материнского (семейного) капитала. Суд первой инстанции указал, что с учетом условий брачного договора заявитель не вправе получить долю в праве собственности на спорное жилое помещение.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нормы противоречат статьям 17 (часть 3) и 40 (часть 1) Конституции Российской Федерации, поскольку по смыслу, придаваемому им правоприменительной практикой, они позволяют лишать граждан части средств материнского (семейного) капитала, направленного в период брака на улучшение жилищных условий. Р.В.Ветвицкий указывает, что названные средства, имеющие специальное целевое назначение, не относятся к общему имуществу супругов и что их судьба не может быть определена брачным договором.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Оспариваемые нормы, обеспечивающие баланс интересов супругов и бывших супругов и защиту их имущественных прав, конкретизируют конституционный принцип свободы договора и сами по себе не могут расцениваться в качестве нарушающих конституционные права заявителя в обозначенном в жалобе аспекте.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Ветвицкого Романа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