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Порываева Андрея Анатольевича на нарушение его конституционных прав частью второй статьи 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А.А.Порываева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А.А.Порываев оспаривает конституционность части второй статьи 3 Трудового кодекса Российской Федерации, согласно которой 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работника. 2 По мнению заявителя, оспариваемая норма, примененная в его деле судом, противоречит Конституции Российской Федерации, ее статьям 19 (часть 2) и 46 (часть 1), поскольку не содержит формального определения критериев дискриминации в сфере труда.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часть вторая статьи 3 Трудового кодекса Российской Федерации, запрещающая дискриминацию в сфере труда, согласуется с положениями Конвенции МОТ № 111 1958 года относительно дискриминации в области труда и занятий, а также закрепляет гарантии надлежащей защиты прав и законных интересов работника как экономически более слабой стороны в трудовом правоотношении. Вопреки утверждению А.А.Порываева, данная норма содержит критерии, позволяющие отграничить дискриминацию от обоснованной дифференциации правового регулирования, и не может расцениваться как нарушающая права заявителя. Установление же наличия факта дискриминации заявителя в трудовых правах, с чем, как следует из материалов жалобы, он связывает нарушение своих прав, не относится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Порываева Андрея Анатольевича,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