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Отинко Романа Олеговича на нарушение его конституционных прав частью первой статьи 215 и частью второй статьи 225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Р.О.Отинко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Р.О.Отинко просит признать не соответствующими Конституции Российской Федерации следующие положения Уголовно- процессуального кодекса Российской Федерации: часть первую статьи 215 «Окончание предварительного следствия с обвинительным заключением» в той мере, в какой она позволяет уведомлять лицо об окончании расследования в тот же день, когда оно приобрело статус подозреваемого; 2 часть вторую статьи 225 «Обвинительный акт», поскольку она позволяет предъявить для ознакомления обвинительный акт отдельно от материалов уголовного дела по окончании дознания.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Отинко Романа Олеговича,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