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в своих жалобах конституционность ряда положений Федерального конституционного закона от 21 июля 1994 года № 1-ФКЗ «О Конституционном Суде Российской Федерации», Федерального конституционного закона от 31 декабря 1996 года № 1-ФКЗ «О судебной системе Российской Федерации», Гражданского процессуального кодекса Российской Федерации, Кодекса административного судопроизводства Российской Федерации, Кодекса Российской Федерации об административных правонарушениях, Уголовно- исполнительного кодекса Российской Федерации, Уголовного кодекса Российской Федерации, Уголовно-процессуального кодекса Российской 2 Федерации, федеральных законов от 17 января 1992 года № 2202-I «О прокуратуре Российской Федерации», от 15 июля 1995 года № 103-ФЗ «О содержании под стражей подозреваемых и обвиняемых в совершении преступлений» и от 14 марта 2002 года № 30-ФЗ «Об органах судейского сообщества в Российской Федерации».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