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Иващенко Анастасии Александровны на нарушение ее конституционных прав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А.А.Иващенко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А.А.Иващенко оспаривает конституционность части первой статьи 134 «Отказ в принятии искового заявления» ГПК Российской Федерации, а фактически – ее пункта 1. Как следует из представленных материалов, апелляционным определением суда апелляционной инстанции, оставленным без изменения кассационным судом общей юрисдикции, А.А.Иващенко отказано в принятии искового заявления о защите чести и достоинства, предъявленного председателю этого суда. Определением судьи Верховного Суда Российской Федерации, с которым согласился заместитель Председателя Верховного Суда Российской Федерации, заявительнице отказано в передаче 2 кассационной жалобы для рассмотрения в судебном заседании суда Судебной коллегии по гражданским делам этого суда. По мнению А.А.Иващенко, толкование судами части первой статьи 134 ГПК Российской Федерации не соответствует Конституции Российской Федерации, в том числе ее статьям 17–19, 21, 45, 46, 52, 53, 118, 120, 123 и 126, поскольку позволяет суду отказать в принятии искового заявления по требованию к председателю суда о защите чести и достоинства, в том числе без указания на то, в каком судебном порядке подлежит рассмотрению иск заявителя.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Иващенко Анастасии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