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Рудакова Михаила Юрьевича на нарушение его конституционных прав частью второй1 статьи 58, статьей 217, частями шестой и седьмой статьи 259 и частью пятой статьи 4014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М.Ю.Рудакова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М.Ю.Рудаков, привлеченный к уголовной ответственности, оспаривает конституционность части второй1 статьи 58 «Специалист», статьи 217 «Ознакомление обвиняемого и его защитника с материалами уголовного дела», частей шестой и седьмой статьи 259 «Протокол судебного заседания» и части пятой статьи 4014 «Содержание кассационной жалобы, представления» УПК Российской Федерации. По мнению заявителя, применением оспариваемых норм, на основании которых ему было отказано в предоставлении копий протоколов судебного заседания, ознакомлении с материалами дела, допуске специалиста к участию в деле, а 2 также рассмотрении поданных им кассационных жалоб, нарушены права, гарантированные статьями 24 (часть 2), 45 и 46 Конституции Российской Федерации. Кроме того, заявитель утверждает о нарушении своих прав Тушинским районным судом города Москвы, который, как он полагает, не регистрирует его исковые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Рудакова Михаила Юрьевича,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