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Кондрашина Дмитрия Сергеевича на нарушение его конституционных прав пунктом 4 статьи 1087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Д.С.Кондрашина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Д.С.Кондрашин оспаривает конституционность пункта 4 статьи 1087 ГК Российской Федерации, в соответствии с которым несовершеннолетний, здоровью которого ранее был причинен вред, после начала трудовой деятельности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 По мнению заявителя, оспариваемое законоположение противоречит статьям 2, 7, 17, 18, 20, 39, 41, 45, 46 и 53 Конституции Российской 2 Федерации в той мере, в какой по смыслу, придаваемому правоприменительной практикой, обусловливает возможность неоднократного увеличения размера возмещения вреда, причиненного здоровью гражданина в несовершеннолетнем возрасте, исходя из фактически получаемого им заработка, документальным подтверждением повышения потерпевшим квалификации путем приобретения новой профессии, безотносительно к тому, что статья 1951 Трудового кодекса Российской Федерации включает в число критериев квалификации работника не только уровень знаний, умений, профессиональных навыков, но и опыт работы, с учетом которого повышается заработная плата по основной работе и определяется ее размер по работе по совместительству.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направлено на наиболее полное обеспечение возмещения вреда при повреждении здоровья лица, не достигшего совершеннолетия, а следовательно, не может рассматриваться как нарушающее конституционные права заявителя, которому вступившим в силу судебным постановлением начиная с 26 октября 2019 года бессрочно установлен размер возмещения вреда, причиненного здоровью, исчисленный с учетом заработка, получаемого им после завершения обучения в вузе с присвоением квалификации «юрист», с последующей индексацией данной суммы в соответствии с законодательством. Ставя под сомнение конституционность пункта 4 статьи 1087 ГК Российской Федерации, Д.С.Кондрашин, по существу, настаивает на внесении в данную норму целесообразных, с его точки зрения, изменений, которые позволили бы гражданину, получившему повреждение здоровья в несовершеннолетнем возрасте, претендовать на увеличение суммы возмещения вреда в связи с каждым случаем обусловленного приобретением дополнительного опыта работы по ранее приобретенной профессии повышения его заработной платы как по основной работе, так и по работе по 3 совместительству. Однако разрешение этого вопроса составляет прерогативу законодателя 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Кондрашина Дмитрия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