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511-О/2024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Малинина Михаила Дмитриевича на нарушение его конституционных прав частью 1 статьи 4.5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М.Д.Малинина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М.Д.Малинин оспаривает конституционность части 1 статьи 4.5 «Давность привлечения к административной ответственности» КоАП Российской Федерации. Как следует из представленных материалов, решением судьи районного суда, оставленным без изменения судьями вышестоящих судов, М.Д.Малинину было отказано в удовлетворении жалобы на определение должностного лица об отказе в возбуждении по его заявлению дела об административном правонарушении, предусмотренном статьей 5.38 «Нарушение законодательства о собраниях, митингах, демонстрациях, шествиях и пикетировании» КоАП Российской Федерации (в связи с 2 отсутствием состава этого правонарушения). При этом суды сослались среди прочего на то, что на момент рассмотрения данной жалобы судьей районного суда срок давности привлечения к административной ответственности за указанное правонарушение истек. По мнению заявителя, оспариваемое законоположение не соответствует статьям 18, 31 и 46 Конституции Российской Федерации, поскольку препятствует отмене определения должностного лица об отказе в возбуждении дела об административном правонарушении, если срок давности привлечения к административной ответственности за такое правонарушение истек.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Кодекс Российской Федерации об административных правонарушениях устанавливает давность привлечения к административной ответственности (статья 4.5), а также определяет обстоятельства, исключающие производство по делу об административном правонарушении, к которым относит и истечение сроков давности привлечения к административной ответственности (пункт 6 части 1 статьи 24.5). Данный срок представляет собой установленный в законодательстве об административных правонарушениях период, по истечении которого лицо, совершившее административное правонарушение, не может быть подвергнуто административному наказанию, что, как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Малинина Михаила Дмитриевича,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