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частью 2 статьи 4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части 2 статьи 4 Федерального закона от 27 июля 2006 года № 152-ФЗ «О персональных данных», которая устанавливает, что на основании и во исполнение федеральных законов государственные органы, Банк России, органы местного самоуправления в пределах своих полномочий могут принимать нормативные правовые акты, нормативные акты, правовые акты по отдельным вопросам, касающимся обработки персональных данных; такие акты не могут содержать положения, ограничивающие права субъектов персональных данных, устанавливающие не предусмотренные федеральными законами ограничения деятельности операторов или 2 возлагающие на операторов не предусмотренные федеральными законами обязанности, и подлежат официальному опубликованию. Как следует из представленных материалов, информационным центром территориального управления Министерства внутренних дел Российской Федерации заявителю была выдана справка, в которой содержались сведения о наличии у него судимости. Полагая, что некорректное, по его мнению, отражение в указанной справке данных о погашенной судимости нарушает его конституционные права и причиняет ему моральный вред, А.Н.Батура обратился в суд общей юрисдикции. Решением суда, с которым согласились суды вышестоящих инстанций, заявителю отказано в удовлетворении его искового заявления о взыскании компенсации морального вреда с органа внутренних дел. Как указали суды, форма справки о наличии (отсутствии) судимости и отражаемая в ней информация установлены ведомственными нормативными актами. Кроме того, суды отметили, что сам по себе факт указания в сведениях, содержащихся в картотеке централизованного учета, наименования исправительного учреждения в сокращенной форме не влечет нарушения прав заявителя. По мнению заявителя, оспариваемая норма позволяет уполномоченным органам принимать ведомственные нормативные акты, которые нарушают права заявителя на обработку персональных данных, а потому противоречит Конституции Российской Федерации, ее статьям 1, 19 (часть 2) и 37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персональных данных» является базовым законодательным актом, регулирующим отношения, связанные с обработкой персональных данных, и определяет принципы, условия и правила обработки персональных данных (статьи 1 и 4, часть 1 статьи 6). Оспариваемая заявителем норма не только наделяет уполномоченные государственные органы правом принимать ведомственные нормативные акты по отдельным вопросам, касающимся обработки персональных данных, 3 но и содержит императивное требование, согласно которому такие акты не могут ограничивать права субъектов персональных данных. Сама по себе данная норма не может рассматриваться как нарушающая права заявителя, в деле которого суды установили, что содержащиеся в информационной системе уполномоченного органа сведения являются корректными.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