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Жейляубаева Аскара Базархановича на нарушение его конституционных прав статьями 166, 223, 302 и 421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А.Б.Жейляубаева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А.Б.Жейляубаев оспаривает конституционность статей 166 «Оспоримые и ничтожные сделки», 223 «Момент возникновения права собственности у приобретателя по договору», 302 «Истребование имущества от добросовестного приобретателя» и 421 «Свобода договора»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в удовлетворении исковых требований А.Б.Жейляубаева о признании договора купли-продажи земельного участка между гражданами 2 Е. и Г., а также соглашения о перераспределении земельных участков между гражданином З. и Г. недействительными, о применении последствий недействительности сделки, о признании права общей долевой собственности на земельный участок и о признании права собственности на земельные участки отказано.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Конституции Российской Федерации, ее статьям 15 (части 1 и 2), 17, 18, 19 (часть 1), 35 (часть 2), 46 (часть 1), 47 (часть 1), 55 (часть 2) и 123 (часть 3), поскольку они по смыслу, придаваемому им правоприменительной практикой, допускают отчуждение земельного участка без находящихся на нем здания, строения, сооружения в случае, если они принадлежат одному лицу, и не допускают признание такой сделки недействительной.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изложенные в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Жейляубаева Аскара Базархановича,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