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Никонова Анатолия Вячеславовича на нарушение его конституционных прав статьей 2031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А.В.Никонова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 удовлетворено заявление гражданина А.В.Никонова об индексации присужденных денежных сумм. Заявление должника о восстановлении пропущенного срока подачи частной жалобы на это определение суда было оставлено судом первой инстанции без удовлетворения, с чем не согласился суд апелляционной инстанции, отменив соответствующее определение и восстановив срок частного обжалования. С этим в свою очередь согласились кассационный суд общей юрисдикции и судья Верховного Суда Российской Федерации. Заявитель оспаривает конституционность статьи 2031 ГПК Российской Федерации, предусматривающей, в частности, что вопросы индексации 2 присужденных денежных сумм рассматриваются судом без проведения судебного заседания и без извещения лиц, участвующих в деле; в случае необходимости суд может вызвать этих лиц в судебное заседание, известив их о времени и месте его проведения. Данное законоположение, по мнению заявителя, нарушает предписания статей 4 (часть 2), 15 (части 1 и 2), 17 (части 1 и 3), 19 (части 1 и 2), 46 (часть 1), 71 (пункт «а»), 104 (часть 1), 120 и 123 (часть 3) Конституции Российской Федерации, поскольку в системе действующего правового регулирования позволяет правоприменителю изменять его содержание на такое, по смыслу которого предполагается обязанность суда проводить судебное заседание при решении вопроса об индексации присужденных денежных сумм с обязательным извещением лиц, участвующих в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утверждению заявителя, статья 2031 ГПК Российской Федерации ясно и недвусмысленно устанавливает порядок рассмотрения вопросов индексации присужденных денежных сумм – без проведения судебного заседания и без извещения лиц, участвующих в деле (которых, впрочем, суд вправе в случае необходимости вызвать в судебное заседание, известив о времени и месте его проведения). Из материалов жалобы усматривается, что заявитель, формально оспаривая конституционность статьи 2031 ГПК Российской Федерации, фактически выражает несогласие с ее применением судами, обусловившим восстановление лицу, участвующему в деле, процессуального срока подачи частной жалобы на вынесенное в рамках этого дела определение суда. Между тем проверка правильности такого применения, предполагающая установление фактических обстоятельств этого дела, в том числе тех или иных уважительных причин для восстановления указанного срока, не входит в компетенцию Конституционного Суда Российской Федерации, как она определена статьей 125 Конституции Российской Федерации и статьей 3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Никонова Анатолия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