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частью 2 статьи 318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отбывающий наказание в виде лишения свободы, оспаривает конституционность части 2 статьи 318 КАС Российской Федерации, согласно которой судебные акты могут быть обжалованы в суд кассационной инстанции в течение шести месяцев со дня их вступления в законную силу при условии, что лицами, указанными в части 1 данной статьи, были исчерпаны иные установленные данным Кодексом способы обжалования судебного акта до дня вступления его в законную силу. Как следует из представленных документов, решением районного суда В.И.Попкову отказано в удовлетворении административного искового 2 заявления к исправительному учреждению, Федеральной службе исполнения наказаний и ее территориальному органу о признании условий содержания ненадлежащими, компенсации морального вреда. Определением кассационного суда общей юрисдикции, с которым согласился судья Верховного Суда Российской Федерации, кассационная жалоба заявителя была возвращена без рассмотрения, поскольку указанное судебное решение не было обжаловано в апелляционном порядке. По мнению заявителя, оспариваемое законоположение не соответствует Конституции Российской Федерации, поскольку препятствует гражданину добиваться пересмотра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