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Плотниковой Марины Владимировны на нарушение ее конституционных прав абзацем вторым пункта 2 статьи 241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М.В.Плотниковой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М.В.Плотникова оспаривает конституционность абзаца второго пункта 2 статьи 241 Федерального закона «О несостоятельности (банкротстве)», закрепляющего среди прочего обязанность арбитражного управляющего в течение десяти дней с даты его утверждения арбитражным судом в процедурах, применяемых в деле о банкротстве, заключить дополнительный договор обязательного страхования своей ответственности, за исключением, в частности, дела о банкротстве должника, балансовая стоимость активов которого не превышает сто миллионов рублей. Как следует из представленных материалов, решением арбитражного суда первой инстанции отказано в удовлетворении требований 2 М.В.Плотниковой о признании незаконным и отмене решения административного органа о прекращении производства по делу об административном правонарушении в отношении арбитражного управляющего, о привлечении его к административной ответственности, а также о признании незаконными действий конкурсного управляющего. При этом в обоснование заявления в арбитражный суд было указано, что арбитражный управляющий исполняет свои обязанности в деле о банкротстве без заключения договора дополнительного страхования. Суд апелляционной инстанции решение суда первой инстанции отменил в части отказа в удовлетворении требования о признании незаконными действий конкурсного управляющего и принял новое решение, оставив данное требование без рассмотрения. С этим согласились суды кассационной инстанции. По мнению заявительницы, оспариваемая норма противоречит статьям 19, 45 и 46 Конституции Российской Федерации, поскольку в системе действующего правового регулирования позволяет арбитражному управляющему, нарушившему требование закона о заключении дополнительного договора страхования своей ответственности, продолжать исполнение своих обязанностей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обеспечивает защиту имущественных прав и интересов не только лиц, участвующих в деле о банкротстве, и иных лиц (выгодоприобретателей), потерпевших от действий арбитражного управляющего, но и самого арбитражного управляющего и не может рассматриваться в указанном в жалобе аспекте в качестве нарушающей конституционные права заявительницы, в деле с участием которой суд исходил из недоказанности наличия у должника имущества, стоимость которого на последнюю отчетную дату перед утверждением арбитражного управляющего превышала 100 млн руб. 3 Установление же фактических обстоятельств, имеющих значение для разрешения конкретного дела, а также проверка правильности применения норм права с учетом данных обстоятельств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Плотниковой Марины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