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1101-О/2024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Мугунянца Артема Павловича на нарушение его конституционных прав статьями 111, 112 и 1141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А.П.Мугунянца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А.П.Мугунянц оспаривает конституционность статей 111 «Распределение судебных расходов между сторонами», 112 «Возмещение расходов на оплату услуг представителя» и 1141 «Разрешение вопросов о судебных расходах» КАС Российской Федерации. Как следует из представленных материалов, определением мирового судьи, с которым согласились вышестоящие суды, было частично удовлетворено заявление А.П.Мугунянца о взыскании с налогового органа судебных расходов, понесенных в связи с рассмотрением ходатайства заявителя о повороте исполнения судебного приказа, вынесенного в отношении него по заявлению налогового органа. 2 По мнению А.П.Мугунянца, выражающего несогласие с принятыми по его делу судебными актами, статьи 111, 112 и 1141 КАС Российской Федерации не соответствуют Конституции Российской Федерации, в частности ее статьям 15, 18, 19, 27, 47, 48 и 53, поскольку препятствуют взысканию судебных расходов в надлежащем размере.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Мугунянца Артема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