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Золотова Олега Олеговича на нарушение его конституционных прав рядом положений пункта 1 Постановления Правительства Российской Федерации «Об установлении особенностей передачи объекта долевого строительства участнику долевого строительства»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О.О.Золотова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Верховного Суда Российской Федерации, оставленным без изменения апелляционным определением Апелляционной коллегии данного суда, отказано в удовлетворении административного искового заявления гражданина О.О.Золотова о признании недействующими подпунктов «в»–«е» пункта 1 Постановления Правительства Российской Федерации от 23 марта 2022 года № 442 «Об установлении особенностей передачи объекта долевого строительства участнику долевого строительства». 2 По мнению заявителя, указанные положения противоречат статье 55 (часть 3) Конституции Российской Федерации, поскольку устанавливают ограничения прав и свобод граждан в отсутствие у Правительства Российской Федерации соответствующего полномочия.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заявителя, а также если при разрешении данного дела исчерпаны все другие внутригосударственные средства судебной защиты прав заявителя. При этом к жалобе должны быть приложены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Золотова Олега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