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1801-О/2023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Вершинина Павла Анатольевича на нарушение его конституционных прав частью первой статьи 40115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П.А.Вершинина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суда кассационной инстанции от 22 мая 2023 года ввиду отсутствия существенных нарушений закона, повлиявших на исход дела, отказано в передаче для рассмотрения в судебном заседании этого суда жалобы гражданина П.А.Вершинина о пересмотре обвинительного приговора от 17 августа 2020 года. В этой связи П.А.Вершинин просит признать часть первую статьи 40115 «Основания отмены или изменения судебного решения при рассмотрении уголовного дела в кассационном порядке» УПК Российской Федерации не соответствующей статье 50 (часть 3) Конституции Российской Федерации, 2 поскольку она, как он утверждает, является средством отказа в передаче жалобы для рассмотрения по существу.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первая статьи 40115 УПК Российской Федерации, устанавливая, что основаниями отмены или изменения приговора, определения или постановления суда при рассмотрении уголовного дела в кассационном порядке являются наряду с прочим существенные нарушения уголовного и (или) уголовно-процессуального закона, повлиявшие на исход дела, не содержит какой-либо неопределенности и отвечает назначению и месту кассационного производства как дополнительного способа защиты прав участников уголовного процесса (определения от 17 февраля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Вершинина Павла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