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2442-О/2023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Демидовой Екатерины Александровны на нарушение ее конституционных прав частью 2 статьи 6 Федерального закона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Е.А.Демидовой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Е.А.Демидова оспаривает конституционность части 2 статьи 6 «Срок передачи застройщиком объекта долевого строительства участнику долевого строительства» Федерального закона от 30 декабря 2004 года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Федерации». Как следует из представленных материалов, решением суда общей юрисдикции, оставленным без изменения определением суда апелляционной инстанции, частично удовлетворены исковые требования Е.А.Демидовой к 2 застройщику о взыскании денежных средств, в том числе неустойки за просрочку передачи объекта долевого строительства, штрафа, компенсации морального вреда. По мнению заявительницы, оспариваемая норма противоречит статьям 2, 19 (части 1 и 2), 45 и 55 Конституции Российской Федерации в той мере, в какой она лишает граждан возможности реализовать право на взыскание неустойки за нарушение сроков передачи участнику долевого строительства объекта долевого строительства с учетом изменения ключевой ставки и исходя из экономической ситуации, инфляционных колебаний и баланса интересов каждой из сторон.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Демидовой Екатерины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