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Субачевой Натальи Владимировны на нарушение ее конституционных прав пунктом 1 части первой статьи 22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Н.В.Субачевой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Н.В.Субачева оспаривает конституционность пункта 1 части первой статьи 22 ГПК Российской Федерации, в соответствии с которым суды рассматривают и разрешают исковые дела с участием граждан, организаций, органов государственной власти, органов местного самоуправления о защите нарушенных или оспариваемых прав, свобод и законных интересов, по спорам, возникающим из гражданских, семейных, трудовых, жилищных, земельных, экологических и иных правоотношений. Решением суда общей юрисдикции, оставленным без изменения судами апелляционной и кассационной инстанций, удовлетворен иск к 2 Н.В.Субачевой о признании недействительным предварительного договора купли-продажи акций и дополнительного соглашения к нему. При этом суд первой инстанции отказал в удовлетворении ходатайства заявительницы о передаче дела по подсудности в арбитражный суд, отметив, что спор о признании предварительного договора недействительным непосредственно не связан с принадлежностью акций, установлением их обременений или реализацией вытекающих из них прав.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Н.В.Субачевой для рассмотрения в судебном заседании суда кассационной инстанции. По мнению заявительницы, оспариваемая норма не соответствует статьям 34, 35 и 55 Конституции Российской Федерации, так как позволяет произвольно относить к подсудности судов общей юрисдикции рассмотрение и разрешение споров о недействительности сделок с акциями.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первой статьи 22 ГПК Российской Федерации устанавливает категории дел, относящихся к подсудности судов общей юрисдикции, и тем самым конкретизирует статью 47 (часть 1) Конституции Российской Федерации, которая гарантирует каждому рассмотрение его дела тем судом и тем судьей, к подсудности которых оно отнесено законом. При этом, как следует из части третьей упомянутой статьи, к компетенции судов общей юрисдикции не относится рассмотрение и разрешение дел, отнесенных федеральным конституционным законом и федеральным законом к компетенции арбитражных судов. К их числу относятся, среди прочего, споры, связанные с принадлежностью акций, установлением их обременений и реализацией вытекающих из них прав (пункт 2 части 1 статьи 2251 АПК Российской Федерации). Таким образом, пункт 1 части первой статьи 22 ГПК Российской Федерации не содержит неопределенности и не может рассматриваться как 3 нарушающий конституционные права Н.В.Субачевой, которая, ссылаясь в жалобе на произведение расчетов по договору купли-продажи акций, по существу, выражает несогласие с его предварительным характером. Между тем установление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Субачевой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