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1462-О/2024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Абулгафарова Виктора Шевкетовича на нарушение его конституционных прав статьей 297, пунктом 3 статьи 38915 и частью первой статьи 38918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В.Ш.Абулгафарова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В.Ш.Абулгафаров, привлекавшийся к уголовной ответственности, оспаривает конституционность статьи 297 «Законность, обоснованность и справедливость приговора», пункта 3 статьи 38915 «Основания отмены или изменения судебного решения в апелляционном порядке» и части первой статьи 38918 «Неправильное применение уголовного закона и несправедливость приговора» УПК Российской Федерации. По мнению заявителя, обжалуемые нормы противоречат статьям 2, 15, 17 (часть 1), 18, 19 (часть 1) и 54 (часть 2) Конституции Российской Федерации, поскольку позволяют суду при постановлении приговора, а также судам апелляционной и кассационной инстанций при его пересмотре 2 не руководствоваться разъяснениями, содержащимися в постановлениях Пленума Верховного Суда Российской Федерации, и не расценивать неправильное – без их учета – применение уголовного закона в качестве основания для отмены или изменения принятых по уголовному делу судебных решений.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Абулгафарова Виктора Шевкетовича,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