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Убушаевой Надежды Очиргоряевны на нарушение ее конституционных прав статьями 15, 16 и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Н.О.Убушаевой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Н.О.Убушаева, являющаяся индивидуальным предпринимателем, оспаривает конституционность статей 15 «Возмещение убытков», 16 «Возмещение убытков, причиненных государственными органами и органами местного самоуправления»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Федерации. Как следует из представленных материалов, решением арбитражного суда, с которым согласились вышестоящие суды, отказано в удовлетворении иска Н.О.Убушаевой к антимонопольному органу о взыскании убытков в 2 виде упущенной выгоды, причиненных незаконным включением в реестр недобросовестных поставщиков. По мнению заявительницы, оспариваемые положения противоречат статье 53 Конституции Российской Федерации, поскольку содержат неопределенность в вопросе о возможности взыскания упущенной выгоды в связи с отменой решения антимонопольного органа о включении в реестр недобросовестных поставщиков.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15, 16 и 1069 ГК Российской Федерации не препятствуют возмещению в полном объеме вреда при наличии состава гражданского правонарушения, включающего обычно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Конституционного Суда Российской Федерации от 8 декабря 2017 года № 39- П, от 5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Убушаевой Надежды Очиргоряевны,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