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Букина Андрея Геннадьевича на нарушение его конституционных прав положениями статьи 333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А.Г.Букина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А.Г.Букин, которому отказано в удовлетворении исковых требований к банку об уменьшении размера начисленной неустойки, оспаривает конституционность положений статьи 333 ГК Российской Федерации, закрепляющей, в частности, что,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 По мнению заявителя, оспариваемые положения не соответствуют Конституции Российской Федерации, ее статьям 19 (часть 1), 35 (части 1 и 3), 2 поскольку, не позволяя однозначно установить, что подразумевается под явной несоразмерностью неустойки последствиям нарушения обязательства, а также не указывая на возможность предъявления должником самостоятельного иска о снижении неустойки и на то, какая конкретно неустойка (начисленная или начисленная и частично удержанная) может снижаться судами на основании данных норм, допускают их двоякое толкование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333 ГК Российской Федерации в части, закрепляющей право суда уменьшить размер подлежащей взысканию неустойки, если она явно несоразмерна последствиям нарушения обязательства, по существу, предписывает суду устанавливать баланс между применяемой к нарушителю мерой ответственности и размером действительного ущерба, причиненного в результате конкретного правонарушения, что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 и свобод других лиц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Букина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