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Летуновой Ольги Петровны на нарушение ее конституционных прав пунктом 1 части 1 и пунктом 1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О.П.Летуновой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О.П.Летунова оспаривает конституционность пункта 1 части 1 и пункта 1 части 2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О.П.Летуновой отказано в удовлетворении заявления о пересмотре вступившего в законную силу судебного акта по вновь открывшимся обстоятельствам. Определением судьи Верховного Суда 2 Российской Федерации отказано в передаче кассационной жалобы заявительницы для рассмотрения в судебном заседании Судебной коллегии по экономическим спорам Верховного Суда Российской Федерации. По мнению О.П.Летуновой, оспариваемые взаимосвязанные нормы не соответствуют статьям 1 (часть 1), 4 (часть 2), 15 (части 1 и 2), 19 (части 1 и 2), 35 (части 1 и 3), 45 (часть 1), 46 (части 1 и 2), 55 (часть 3) и 123 (часть 3) Конституции Российской Федерации в той мере, в какой они позволяют арбитражным судам на основании формального подхода отказывать в пересмотре дела по вновь открывшимся обстоятельствам, не оценивая представленные суду новые доказательства, которые могут подтверждать наличие вновь открывшихся обстоятельств.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 статье 311 АПК Российской Федерации оснований пересмотра вступивших в законную силу судебных актов по новым или вновь открывшимся обстоятельствам, включая отнесение к числу вновь открывшихся обстоятельств существенных для дела обстоятельств, которые не были и не могли быть известны заявителю (пункт 1 части 2) и имели место на момент принятия данных актов (пункт 1 части 1), является дополнительной процессуальной гарантией защиты прав и охраняемых законом интересов участников арбитражного судопроизводства. Таким образом, оспариваемые положения сами по себе не могут расцениваться как влекущие нарушение конституционных прав О.П.Летуновой, в деле с участием которой арбитражные суды пришли к выводу о том, что представленные заявительницей новые доводы и доказательства не могут служить основанием для пересмотра судебного акта по правилам главы 37 АПК Российской Федерации. Оценка же правильности указанного вывода, в том числе установление того, могут ли те или иные фактические обстоятельства служить основанием для пересмотра вынесенных по конкретному делу судебных актов, не входит 3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Летуновой Ольги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