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Никонорова Владимира Викторовича на нарушение его конституционных прав частью 2 статьи 1 Федерального закона «Об ответственном обращении с животными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В.В.Никонорова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В.В.Никоноров оспаривает конституционность части 2 статьи 1 Федерального закона от 27 декабря 2018 года № 498-ФЗ «Об ответственном обращении с животными и о внесении изменений в отдельные законодательные акты Российской Федерации», согласно которой положения данного Федерального закона не применяются к отношениям в области охраны и использования животного мира, отношениям в области рыболовства и сохранения водных биологических ресурсов, отношениям в области аквакультуры (рыбоводства), отношениям в области охоты и сохранения охотничьих ресурсов, отношениям в области содержания и 2 использования сельскохозяйственных животных и отношениям в области содержания и использования лабораторных животных. Как следует из представленных материалов, решением суда общей юрисдикции, с которым согласились вышестоящие суды, оставлены без удовлетворения исковые требования заявителя о взыскании с местной администрации и Управления ветеринарии Алтайского края ущерба, причиненного столкновением автомобиля под управлением В.В.Никонорова и животного (лошади), владелец которого не был установлен. По мнению заявителя, оспариваемое положение Федерального закона «Об ответственном обращении с животными и о внесении изменений в отдельные законодательные акты Российской Федерации» противоречит Конституции Российской Федерации, ее статьям 7 (часть 2), 15 (части 1 и 2), 17 (часть 1), 18, 19 (часть 1), 46 (часть 1) и 55 (часть 3), поскольку оно препятствует применению данного Федерального закона к отношениям в области содержания и использования сельскохозяйственных животных.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часть 2 статьи 1 Федерального закона «Об ответственном обращении с животными и о внесении изменений в отдельные законодательные акты Российской Федерации» определяет сферу применения данного Федерального закона путем исключения из нее ряда отношений, регулируемых иным законодательством, и с учетом ее содержания не может рассматриваться в качестве нарушающей конституционные права заявителя в аспекте, указанном в жалобе. Как следует из доводов жалобы, заявитель, оспаривая конституционность данной нормы, по сути, выражает несогласие с выводами судов, сделанными на основании установленных фактических обстоятельств дела, и связывает нарушение своих конституционных прав с неприменением ими конкретных правовых норм. Между тем оценка обоснованности выводов судов и правильности выбора ими правовых норм с учетом установленных 3 фактических обстоятельств к компетенции Конституционного Суда Российской Федерации не относится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Никонорова Владимира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