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Лугового Романа Анатольевича на нарушение его конституционных прав подпунктом 5 пункта 1 статьи 1 и пунктом 1 статьи 35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Р.А.Лугового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Р.А.Луговой оспаривает конституционность следующих положений Земельного кодекса Российской Федерации: подпункта 5 пункта 1 статьи 1, закрепляющего в качестве одного из принципов земельного законодательства принцип единства судьбы земельных участков и прочно связанных с ними объектов; пункта 1 статьи 35 о переходе прав на земельный участок при переходе права собственности на здание, сооружение. Как следует из представленных материалов, решением суда общей юрисдикции, с которым согласились суды вышестоящих инстанций, 2 собственникам помещений в комплексе магазинов, включая заявителя, отказано в удовлетворении иска, предъявленного к коммерческой организации, о признании права общей долевой собственности на земельный участок, в границах которого этот комплекс расположен. Суды пришли к выводу, что условия договоров купли-продажи, на основании которых истцы и правопредшественник одного из них приобрели у названной организации доли в праве общей собственности на комплекс магазинов (впоследствии осуществив их выдел посредством закрепления в индивидуальную собственность конкретных помещений), не предусматривали и не предполагали перехода права собственности на земельный участок от продавца к покупателям, а также указали на пропуск срока исковой давности в отношении заявленных требований. По мнению заявителя, оспариваемые законоположения не соответствуют Конституции Российской Федерации, ее статье 35 (части 2 и 3), поскольку они позволяют судам нарушать нормы материального и процессуального права, ненадлежащим образом квалифицировать возникшее правоотношение и, как следствие, осуществлять неправильный выбор правовых норм, подлежащих применению, а также произвольно оценивать содержание договоров и правовые последствия их заключения.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его позиции, свидетельствуют о том, что нарушение своих конституционных прав он связывает не с содержанием оспариваемых законоположений, а с их неправильным, по его мнению, неприменением судами общей юрисдикции в конкретном деле. Между тем установление и исследование фактических обстоятельств конкретного дела, проверка правильности выбора судами норм права с учетом этих обстоятельств, а также оценка условий договора и наличия оснований для применения (неприменения) исковой давности не относятся к компетенции Конституционного Суда Российской Федерации, 3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Лугового Романа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