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2375-О/2023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Авдеева Ивана Алексеевича на нарушение его конституционных прав пунктами 1 и 2 статьи 333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И.А.Авдеева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И.А.Авдеев оспаривает конституционность положений статьи 333 ГК Российской Федерации, согласно которым,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 1);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2 неустойки в предусмотренном договором размере может привести к получению кредитором необоснованной выгоды (пункт 2). Решением суда общей юрисдикции, оставленным без изменения судами апелляционной и кассационной инстанций, частично удовлетворен иск юридического лица к заявителю о возврате неосновательного обогащения. Суды пришли к выводу, что неустойка, ранее присужденная И.А.Авдееву до момента фактического исполнения обязательства и позднее списанная со счета должника, оказалась явно несоразмерной последствиям нарушения обязательства, и взыскали в пользу должника соответствующую разницу в качестве неосновательного обогащения.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 По мнению И.А.Авдеева, оспариваемые положения не соответствуют статьям 18 и 46 (часть 1) Конституции Российской Федерации, поскольку по смыслу, придаваемому им правоприменительной практикой, они допускают уменьшение неустойки, присужденной должнику на будущее время (до момента фактического исполнения обязательства), путем предъявления им самостоятельного иска к взыскателю о возврате неосновательного обогащения и тем самым позволяют суду, рассматривающему такой иск, вне установленного порядка пересматривать вступившее в законную силу и исполненное судебное решение о взыскании неустойки.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статьи 333 ГК Российской Федерации, регламентирующие право суда уменьшить размер подлежащей взысканию неустойки, если она явно несоразмерна последствиям нарушения обязательства, согласуются с положением статьи 17 (часть 3) Конституции Российской Федерации, в соответствии с которым осуществление прав и свобод человека и гражданина не должно нарушать права и свободы других 3 лиц (Постановление Конституционного Суда Российской Федерации от 6 октября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Авдеева Ивана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