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Кублякова Станислава Казисовича на нарушение его конституционных прав статьей 1102 и пунктом 1 статьи 1105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С.К.Кублякова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С.К.Кубляков оспаривает конституционность статьи 1102 «Обязанность возвратить неосновательное обогащение» и пункта 1 статьи 1105 «Возмещение стоимости неосновательного обогащения» ГК Российской Федерации. Из представленных материалов следует, что апелляционным определением суда общей юрисдикции, с которым согласились суды вышестоящих инстанций, с заявителя в пользу гражданина Д. в качестве неосновательного обогащения взыскана стоимость принадлежащего Д. имущества, оставленного им в нежилом помещении после прекращения 2 договора аренды этого помещения, заключенного между Д. и гражданкой К. – супругой заявителя. По мнению С.К.Кублякова, оспариваемые нормы не соответствуют Конституции Российской Федерации, ее статьям 1 (часть 1), 2, 15 (часть 1), 17 (части 1 и 3), 18, 19 (части 1 и 2), 45, 46 (часть 1) и 55 (части 2 и 3), в той мере, в какой по смыслу, придаваемому им правоприменительной практикой, они позволяют взыскивать с одного гражданина в пользу другого, с которым этот гражданин в договорных правоотношениях (в том числе возникающих из договора аренды) не состоит, в качестве неосновательного обогащения стоимость имущества, в отношении которого возможность его возврата в натуре сохраняется.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нормы, обеспечивая защиту имущественных прав участников гражданского оборота и конкретизируя правовые последствия неосновательного обогащения, с учетом того что пункт 1 статьи 1105 ГК Российской Федерации в качестве основания для своего применения прямо указывает невозможность возвратить в натуре неосновательно полученное или сбереженное имущество, не могут расцениваться в качестве нарушающих в указанном в жалобе аспекте конституционные права заявителя, в деле которого суды исходили из того, что С.К.Кубляков принял спорное имущество Д., от его возврата уклонился, при этом доказательства наличия спорного имущества в натуре отсутствуют. Установление же и оценка фактических обстоятельств, имеющих значение для разрешения конкретного дела, на что, по существу, направлены доводы заявителя, равно как и отмена судебных постановлений, в полномочия Конституционного Суда Российской Федерации, закрепленные в 3 статье 125 Конституции Российской Федерации и статье 3 Федерального конституционного закона «О Конституционном Суде Российской Федерации»,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Кублякова Станислава Казисовича,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