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«Эко-Планета» на нарушение его конституционных прав частью 3 статьи 94, а также частью 10 и пунктом 1 части 15 статьи 95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общества с ограниченной ответственностью «Эко-Планета»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«Эко-Планета» (далее также – общество) оспаривает конституционность части 3 статьи 94 «Особенности исполнения контракта», а также части 10 и пункта 1 части 15 статьи 95 «Изменение, расторжение контракта»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Как следует из представленных материалов, решением арбитражного суда, с которым согласились суды вышестоящих инстанций, обществу 2 отказано в иске к государственному органу о признании решения об одностороннем отказе от исполнения контракта незаконным. По мнению заявителя, оспариваемые нормы противоречат статье 18 Конституции Российской Федерации, поскольку позволяют государственному заказчику расторгать контракт без проведения должной экспертизы результата выполненных по контракту работ.</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Между тем из представленных материалов следует, что с момента завершения рассмотрения дела заявителя, в котором применены оспариваемые положения (Определение судьи Верховного Суда Российской Федерации от 13 января 2023 года),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«Эко-Планета», поскольку она не отвечает 3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