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Юридическая компания «Сенат» на нарушение его конституционных прав статьей 152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Юридическая компания «Сенат»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Юридическая компания «Сенат» (далее также – ООО ЮК «Сенат»), которому отказано в удовлетворении требований о признании сведений, размещенных в информационно-телекоммуникационной сети «Интернет», не соответствующими действительности, оспаривает конституционность статьи 152 «Защита чести, достоинства и деловой репутации» ГК Российской Федерации. По мнению заявителя, оспариваемая норма противоречит Конституции Российской Федерации, ее статьям 23 и 29, поскольку по смыслу, 2 приданному судами в конкретном деле с его участием, она допускает использование свободы слова с целью опорочить деловую репутацию ООО ЮК «Сенат» путем размещения в открытом доступе заведомо недостоверной и не подтвержденной соответствующими доказательствами информации о деятельности этого юридического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152 ГК Российской Федерации, закрепляя, помимо прочего, гражданско-правовые способы защиты деловой репутации, направлена на обеспечение восстановления нарушенных прав в том числе юридических лиц и не может расцениваться в качестве нарушающей конституционные права заявителя, в деле с участием которого суды исходили из отсутствия обстоятельств, необходимых для признания сведений не соответствующими действительности, поскольку спорные высказывания носят оценочный характер и являются выражением субъективного мнения их авторов, которое не может быть проверено на соответствие действительности. Установление же и оценка фактических обстоятельств, имеющих значение для разрешения конкретного дела, на что, по существу, направлены доводы ООО ЮК «Сенат», к компетенции Конституционного Суда Российской Федерации, предусмотренной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Юридическая компания «Сенат», поскольку 3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