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Боровкова Александра Александровича на нарушение его конституционных прав частью первой статьи 428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А.А.Боровкова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А.А.Боровков оспаривает конституционность части первой статьи 428 «Выдача судом исполнительного листа»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А.А.Боровкову, с которого приговором суда в пользу ряда граждан взысканы денежные средства в счет компенсации морального и имущественного вреда, отказано в удовлетворении заявления о замене взыскателей иными лицами в порядке процессуального правопреемства и выдаче исполнительных листов.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А.А.Боровкова, оспариваемое законоположение противоречит Конституции Российской Федерации, ее статьям 19 (часть 1), 45 (часть 2), 52 и 55 (часть 3), поскольку оно не позволяет суду по заявлению должника выдать исполнительный лист и направить его на исполнение в случаях, когда взыскатель сам не обращался с таким заявлением в суд либо когда взыскатель умер, а процессуальное правопреемство не было осуществлено по не зависящим от должника обстоятельствам.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первой статьи 428 ГПК Российской Федерации исполнительный лист выдается судом взыскателю после вступления судебного постановления в законную силу, за исключением случаев немедленного исполнения, если исполнительный лист выдается немедленно после принятия судебного постановления; исполнительный лист выдается по заявлению взыскателя и по его ходатайству направляется для исполнения непосредственно судом. Данная норма обеспечивает возможность своевременного и надлежащего исполнения вступившего в законную силу судебного постановления при наличии на то воли взыскателя. Смерть же взыскателя, притом что его наследники должным образом не определены и не заявляли о вступлении в исполнительное производство в порядке правопреемства, препятствует принудительному исполнению судебного постановления, поскольку при таких обстоятельствах невозможно установить лицо, в пользу которого это постановление должно быть исполнено. 3 Таким образом, оспариваемое законоположение, направленное на реализацию права на судебную защиту, не может расцениваться в качестве нарушающего конституционные права А.А.Боровкова, в том числе с учетом имеющегося в его деле указания судов на отсутствие сведений о принятии наследства после смерти взыскателей, в пользу которых был обязан возместить вред заявитель.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Боровкова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