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Ласкина Кирилла Геннадьевича на нарушение его конституционных прав пунктом 1 статьи 1102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К.Г.Ласкина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К.Г.Ласкин оспаривает конституционность пункта 1 статьи 1102 ГК Российской Федерации, предусматривающего,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Из представленных материалов следует, что постановлением арбитражного суда кассационной инстанции отменено постановление суда 2 апелляционной инстанции; определение арбитражного суда о признании обоснованным и подлежащим включению в третью очередь реестра требований кредиторов К.Г.Ласкина требования гражданина Н., включающего основной долг и проценты за пользование чужими денежными средствами, оставлено в силе. Суд кассационной инстанции указал, что договор займа ни кредитором, ни должником в материалы дела не представлен, должник отрицал наличие заемных отношений с кредитором, в связи с чем суд первой инстанции правомерно пришел к выводу об отсутствии оснований для квалификации спорных отношений как заемных и расценил обязательства должника как возникшие из неосновательного обогащения. В передаче кассационной жалобы К.Г.Ласкина на это определение и постановление суда кассационной инстанции, которым оно оставлено без изменения, для рассмотрения в судебном заседании Судебной коллегии по экономическим спорам Верховного Суда Российской Федерации отказано. По мнению заявителя, пункт 1 статьи 1102 ГК Российской Федерации противоречит Конституции Российской Федерации, ее статьям 46 (часть 1) и 47 (часть 1), поскольку он по смыслу, придаваемому ему правоприменительной практикой, предоставляет судам неограниченное право произвольно толковать понятие сделки и не признавать сделкой правоотношения сторон при отсутствии письменного договора, но при наличии подтверждающих существование правоотношений финансовых документов (платежных поручений).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Ласкина Кирилла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