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74 и пунктами 1 и 3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статьи 74 «Требования, предъявляемые к решениям» и пунктов 1 и 3 статьи 97 «Допустимость жалобы» Федерального конституционного закона от 21 июля 1994 года № 1-ФКЗ «О Конституционном Суде Российской Федерации». Определением от 28 февраля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