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Саблина Романа Александровича на нарушение его конституционных прав рядом положений Гражданского кодекса Российской Федерации, Гражданского процессуального кодекса Российской Федерации и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Р.А.Саблина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Р.А.Саблин оспаривает конституционность статьи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Федерации, статей 67 «Оценка доказательств», 186 «Заявление о подложности доказательства», 195 «Законность и обоснованность решения суда», 198 «Содержание решения суда» ГПК Российской Федерации, части 17 статьи 30 «Возбуждение исполнительного производства» и пункта 2 части 6 статьи 47 «Окончание исполнительного производства» Федерального закона от 2 октября 2007 года № 229-ФЗ «Об исполнительном производстве». 2 Решением суда общей юрисдикции, оставленным без изменения судами вышестоящих инстанций, отказано в удовлетворении иска Р.А.Саблина о возмещении вреда, причиненного незаконными действиями (бездействием) судебных приставов-исполнителей. Суды пришли к выводу о недоказанности составов гражданского правонарушения, в том числе причинно-следственной связи между заявленным истцом вредом и действиями (бездействием) судебных приставов-исполнителей.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Р.А.Саблина для рассмотрения в судебном заседании суда кассационной инстанции. По мнению заявителя, оспариваемые нормы не соответствуют статьям 1 (часть 1), 4 (часть 2), 15 (части 1 и 2), 17 (часть 3), 18, 19 (часть 1), 46 (часть 1), 52, 53, 71 (пункт «в»), 72 (пункт «б») и 118 Конституции Российской Федерации, поскольку по смыслу, придаваемому им судебной практикой, они препятствуют защите взыскателем своих имущественных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обоснование своей жалобы Р.А.Саблин приводит доводы о подложности доказательств, положенных в основу судебных постановлений по конкретному делу, об уклонении судов от исследования представленных им доказательств, об игнорировании судами его ходатайств, а также об иных процессуальных нарушениях, допущенных, как считает заявитель, в конкретном деле. Указанные доводы свидетельствуют о том, что, формально оспаривая конституционность перечисленных в жалобе норм, он фактически просит дать оценку обоснованности судебных постановлений. Между тем такого рода проверка не входит в полномочия Конституционного Суда Российской Федерации, определенные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Саблина Романа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