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1505-О/2023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Буховецкого Евгения Владимировича на нарушение его конституционных прав рядом норм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Е.В.Буховецкого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Е.В.Буховецкий оспаривает конституционность статей 194 «Принятие решения суда», 195 «Законность и обоснованность решения суда», 196 «Вопросы, разрешаемые при принятии решения суда», 197 «Изложение решения суда», 198 «Содержание решения суда», 199 «Составление решения суда», 328 «Полномочия суда апелляционной инстанции» и 329 «Постановление суда апелляционной инстанции» ГПК Российской Федерации. Как следует из представленных материалов, решением суда общей юрисдикции, оставленным без изменения судом апелляционной инстанции, Е.В.Буховецкому было отказано в удовлетворении исковых требований к 2 ответчикам о возложении обязанности включить его в список детей-сирот, детей, оставшихся без попечения родителей, подлежащих обеспечению жилыми помещениями, и предоставить жилое помещение. По мнению заявителя, применением оспариваемых законоположений были нарушены его права, гарантированные статьями 17 (части 1 и 2), 18, 19 (части 1 и 3), 35 (часть 2), 39 (часть 1), 40 (части 1 и 3), 45 (часть 1), 46 (часть 1) и 56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при разрешении конкретного дела. При этом под таким исчерпанием понимается подача в соответствии с законодательством о соответствующем виде судопроизводства кассационной жалобы в суд максимально высокой для данной категории дел инстанции или в случае, если вступившие в силу судебные акты по данной категории дел подлежат обжалованию только в надзорном порядке, надзорной жалобы, если судебный акт, в котором был применен оспариваемый нормативный акт, был предметом кассационного или надзорного обжалования в связи с применением этого нормативного акта, а подача кассационной или надзорной жалобы не привела к устранению признаков нарушения конституционных прав. Между тем с жалобой представлены лишь постановления судов первой и апелляционной инстанций, что не подтверждает исчерпания внутригосударственных средств судебной защиты. Кроме того, доводы, приведенные Е.В.Буховецким в обоснование своей позиции, свидетельствуют о том, что нарушение конституционных прав он связывает не с содержанием оспариваемых законоположений, а с 3 неправильным, как он полагает, применением судами норм права. Разрешение же данного вопроса, требующее оценки правомерности принятых по делу заявителя судебных постановлений,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Буховецкого Евгения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